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5" w:lineRule="exact"/>
        <w:ind w:right="1264" w:rightChars="400"/>
        <w:jc w:val="both"/>
        <w:textAlignment w:val="auto"/>
        <w:rPr>
          <w:rFonts w:hint="eastAsia" w:ascii="黑体" w:hAnsi="黑体" w:eastAsia="黑体" w:cs="黑体"/>
          <w:lang w:eastAsia="zh-CN"/>
        </w:rPr>
      </w:pPr>
      <w:r>
        <w:rPr>
          <w:rFonts w:hint="eastAsia" w:ascii="黑体" w:hAnsi="黑体" w:eastAsia="黑体" w:cs="黑体"/>
          <w:lang w:eastAsia="zh-CN"/>
        </w:rPr>
        <w:t>附件：</w:t>
      </w:r>
    </w:p>
    <w:p>
      <w:pPr>
        <w:keepNext w:val="0"/>
        <w:keepLines w:val="0"/>
        <w:pageBreakBefore w:val="0"/>
        <w:kinsoku/>
        <w:wordWrap/>
        <w:overflowPunct/>
        <w:topLinePunct w:val="0"/>
        <w:autoSpaceDE/>
        <w:autoSpaceDN/>
        <w:bidi w:val="0"/>
        <w:spacing w:line="595" w:lineRule="exact"/>
        <w:ind w:right="22" w:rightChars="7"/>
        <w:jc w:val="center"/>
        <w:textAlignment w:val="auto"/>
        <w:rPr>
          <w:rFonts w:hint="eastAsia" w:ascii="黑体" w:hAnsi="黑体" w:eastAsia="黑体" w:cs="黑体"/>
          <w:spacing w:val="-11"/>
          <w:sz w:val="40"/>
          <w:szCs w:val="40"/>
          <w:lang w:val="en-US" w:eastAsia="zh-CN"/>
        </w:rPr>
      </w:pPr>
      <w:bookmarkStart w:id="0" w:name="_GoBack"/>
      <w:r>
        <w:rPr>
          <w:rFonts w:hint="eastAsia" w:ascii="黑体" w:hAnsi="黑体" w:eastAsia="黑体" w:cs="黑体"/>
          <w:spacing w:val="-11"/>
          <w:sz w:val="40"/>
          <w:szCs w:val="40"/>
          <w:lang w:eastAsia="zh-CN"/>
        </w:rPr>
        <w:t>十堰市商务局20</w:t>
      </w:r>
      <w:r>
        <w:rPr>
          <w:rFonts w:hint="eastAsia" w:ascii="黑体" w:hAnsi="黑体" w:eastAsia="黑体" w:cs="黑体"/>
          <w:spacing w:val="-11"/>
          <w:sz w:val="40"/>
          <w:szCs w:val="40"/>
          <w:lang w:val="en-US" w:eastAsia="zh-CN"/>
        </w:rPr>
        <w:t>23</w:t>
      </w:r>
      <w:r>
        <w:rPr>
          <w:rFonts w:hint="eastAsia" w:ascii="黑体" w:hAnsi="黑体" w:eastAsia="黑体" w:cs="黑体"/>
          <w:spacing w:val="-11"/>
          <w:sz w:val="40"/>
          <w:szCs w:val="40"/>
          <w:lang w:eastAsia="zh-CN"/>
        </w:rPr>
        <w:t>年度双随机抽查工作计划表</w:t>
      </w:r>
    </w:p>
    <w:bookmarkEnd w:id="0"/>
    <w:tbl>
      <w:tblPr>
        <w:tblStyle w:val="13"/>
        <w:tblpPr w:leftFromText="180" w:rightFromText="180" w:vertAnchor="text" w:horzAnchor="page" w:tblpX="763" w:tblpY="429"/>
        <w:tblOverlap w:val="never"/>
        <w:tblW w:w="15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93"/>
        <w:gridCol w:w="1512"/>
        <w:gridCol w:w="1188"/>
        <w:gridCol w:w="744"/>
        <w:gridCol w:w="807"/>
        <w:gridCol w:w="849"/>
        <w:gridCol w:w="1488"/>
        <w:gridCol w:w="4215"/>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kern w:val="2"/>
                <w:sz w:val="18"/>
                <w:szCs w:val="18"/>
                <w:vertAlign w:val="baseline"/>
                <w:lang w:val="en-US" w:eastAsia="zh-CN" w:bidi="ar-SA"/>
              </w:rPr>
            </w:pPr>
            <w:r>
              <w:rPr>
                <w:rFonts w:hint="eastAsia" w:ascii="仿宋" w:hAnsi="仿宋" w:eastAsia="仿宋" w:cs="仿宋"/>
                <w:b/>
                <w:bCs/>
                <w:color w:val="auto"/>
                <w:sz w:val="18"/>
                <w:szCs w:val="18"/>
                <w:vertAlign w:val="baseline"/>
                <w:lang w:eastAsia="zh-CN"/>
              </w:rPr>
              <w:t>序号</w:t>
            </w:r>
          </w:p>
        </w:tc>
        <w:tc>
          <w:tcPr>
            <w:tcW w:w="149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i w:val="0"/>
                <w:caps w:val="0"/>
                <w:color w:val="auto"/>
                <w:spacing w:val="0"/>
                <w:sz w:val="18"/>
                <w:szCs w:val="18"/>
                <w:shd w:val="clear" w:fill="FFFFFF"/>
                <w:lang w:eastAsia="zh-CN"/>
              </w:rPr>
            </w:pPr>
            <w:r>
              <w:rPr>
                <w:rFonts w:hint="eastAsia" w:ascii="仿宋" w:hAnsi="仿宋" w:eastAsia="仿宋" w:cs="仿宋"/>
                <w:b/>
                <w:bCs/>
                <w:i w:val="0"/>
                <w:caps w:val="0"/>
                <w:color w:val="auto"/>
                <w:spacing w:val="0"/>
                <w:sz w:val="18"/>
                <w:szCs w:val="18"/>
                <w:shd w:val="clear" w:fill="FFFFFF"/>
                <w:lang w:eastAsia="zh-CN"/>
              </w:rPr>
              <w:t>联合抽查</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i w:val="0"/>
                <w:caps w:val="0"/>
                <w:color w:val="auto"/>
                <w:spacing w:val="0"/>
                <w:sz w:val="18"/>
                <w:szCs w:val="18"/>
                <w:shd w:val="clear" w:fill="FFFFFF"/>
                <w:lang w:eastAsia="zh-CN"/>
              </w:rPr>
            </w:pPr>
            <w:r>
              <w:rPr>
                <w:rFonts w:hint="eastAsia" w:ascii="仿宋" w:hAnsi="仿宋" w:eastAsia="仿宋" w:cs="仿宋"/>
                <w:b/>
                <w:bCs/>
                <w:i w:val="0"/>
                <w:caps w:val="0"/>
                <w:color w:val="auto"/>
                <w:spacing w:val="0"/>
                <w:sz w:val="18"/>
                <w:szCs w:val="18"/>
                <w:shd w:val="clear" w:fill="FFFFFF"/>
                <w:lang w:eastAsia="zh-CN"/>
              </w:rPr>
              <w:t>计划名称</w:t>
            </w:r>
            <w:r>
              <w:rPr>
                <w:rFonts w:hint="default" w:ascii="仿宋" w:hAnsi="仿宋" w:eastAsia="仿宋" w:cs="仿宋"/>
                <w:b/>
                <w:bCs/>
                <w:i w:val="0"/>
                <w:caps w:val="0"/>
                <w:color w:val="auto"/>
                <w:spacing w:val="0"/>
                <w:sz w:val="18"/>
                <w:szCs w:val="18"/>
                <w:shd w:val="clear" w:fill="FFFFFF"/>
                <w:lang w:val="en-US" w:eastAsia="zh-CN"/>
              </w:rPr>
              <w:t>/</w:t>
            </w:r>
            <w:r>
              <w:rPr>
                <w:rFonts w:hint="eastAsia" w:ascii="仿宋" w:hAnsi="仿宋" w:eastAsia="仿宋" w:cs="仿宋"/>
                <w:b/>
                <w:bCs/>
                <w:i w:val="0"/>
                <w:caps w:val="0"/>
                <w:color w:val="auto"/>
                <w:spacing w:val="0"/>
                <w:sz w:val="18"/>
                <w:szCs w:val="18"/>
                <w:shd w:val="clear" w:fill="FFFFFF"/>
                <w:lang w:eastAsia="zh-CN"/>
              </w:rPr>
              <w:t>抽查</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kern w:val="2"/>
                <w:sz w:val="18"/>
                <w:szCs w:val="18"/>
                <w:vertAlign w:val="baseline"/>
                <w:lang w:val="en-US" w:eastAsia="zh-CN" w:bidi="ar-SA"/>
              </w:rPr>
            </w:pPr>
            <w:r>
              <w:rPr>
                <w:rFonts w:hint="eastAsia" w:ascii="仿宋" w:hAnsi="仿宋" w:eastAsia="仿宋" w:cs="仿宋"/>
                <w:b/>
                <w:bCs/>
                <w:i w:val="0"/>
                <w:caps w:val="0"/>
                <w:color w:val="auto"/>
                <w:spacing w:val="0"/>
                <w:sz w:val="18"/>
                <w:szCs w:val="18"/>
                <w:shd w:val="clear" w:fill="FFFFFF"/>
                <w:lang w:eastAsia="zh-CN"/>
              </w:rPr>
              <w:t>计划名称</w:t>
            </w:r>
          </w:p>
        </w:tc>
        <w:tc>
          <w:tcPr>
            <w:tcW w:w="151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18"/>
                <w:szCs w:val="18"/>
                <w:vertAlign w:val="baseline"/>
                <w:lang w:val="en-US" w:eastAsia="zh-CN"/>
              </w:rPr>
            </w:pPr>
            <w:r>
              <w:rPr>
                <w:rFonts w:hint="eastAsia" w:ascii="仿宋" w:hAnsi="仿宋" w:eastAsia="仿宋" w:cs="仿宋"/>
                <w:b/>
                <w:bCs/>
                <w:color w:val="auto"/>
                <w:sz w:val="18"/>
                <w:szCs w:val="18"/>
                <w:vertAlign w:val="baseline"/>
                <w:lang w:eastAsia="zh-CN"/>
              </w:rPr>
              <w:t>联合抽查事项</w:t>
            </w:r>
            <w:r>
              <w:rPr>
                <w:rFonts w:hint="default" w:ascii="仿宋" w:hAnsi="仿宋" w:eastAsia="仿宋" w:cs="仿宋"/>
                <w:b/>
                <w:bCs/>
                <w:color w:val="auto"/>
                <w:sz w:val="18"/>
                <w:szCs w:val="18"/>
                <w:vertAlign w:val="baseline"/>
                <w:lang w:val="en-US" w:eastAsia="zh-CN"/>
              </w:rPr>
              <w:t>/</w:t>
            </w:r>
            <w:r>
              <w:rPr>
                <w:rFonts w:hint="eastAsia" w:ascii="仿宋" w:hAnsi="仿宋" w:eastAsia="仿宋" w:cs="仿宋"/>
                <w:b/>
                <w:bCs/>
                <w:color w:val="auto"/>
                <w:sz w:val="18"/>
                <w:szCs w:val="18"/>
                <w:vertAlign w:val="baseline"/>
                <w:lang w:eastAsia="zh-CN"/>
              </w:rPr>
              <w:t>抽查事项</w:t>
            </w:r>
          </w:p>
        </w:tc>
        <w:tc>
          <w:tcPr>
            <w:tcW w:w="118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18"/>
                <w:szCs w:val="18"/>
                <w:vertAlign w:val="baseline"/>
                <w:lang w:eastAsia="zh-CN"/>
              </w:rPr>
            </w:pPr>
            <w:r>
              <w:rPr>
                <w:rFonts w:hint="eastAsia" w:ascii="仿宋" w:hAnsi="仿宋" w:eastAsia="仿宋" w:cs="仿宋"/>
                <w:b/>
                <w:bCs/>
                <w:color w:val="auto"/>
                <w:kern w:val="0"/>
                <w:sz w:val="18"/>
                <w:szCs w:val="18"/>
              </w:rPr>
              <w:t>抽查对象</w:t>
            </w:r>
          </w:p>
        </w:tc>
        <w:tc>
          <w:tcPr>
            <w:tcW w:w="74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18"/>
                <w:szCs w:val="18"/>
                <w:vertAlign w:val="baseline"/>
                <w:lang w:eastAsia="zh-CN"/>
              </w:rPr>
            </w:pPr>
            <w:r>
              <w:rPr>
                <w:rFonts w:hint="eastAsia" w:ascii="仿宋" w:hAnsi="仿宋" w:eastAsia="仿宋" w:cs="仿宋"/>
                <w:b/>
                <w:bCs/>
                <w:color w:val="auto"/>
                <w:kern w:val="0"/>
                <w:sz w:val="18"/>
                <w:szCs w:val="18"/>
              </w:rPr>
              <w:t>抽查比例</w:t>
            </w:r>
          </w:p>
        </w:tc>
        <w:tc>
          <w:tcPr>
            <w:tcW w:w="80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kern w:val="0"/>
                <w:sz w:val="18"/>
                <w:szCs w:val="18"/>
                <w:lang w:eastAsia="zh-CN"/>
              </w:rPr>
            </w:pPr>
            <w:r>
              <w:rPr>
                <w:rFonts w:hint="eastAsia" w:ascii="仿宋" w:hAnsi="仿宋" w:eastAsia="仿宋" w:cs="仿宋"/>
                <w:b/>
                <w:bCs/>
                <w:color w:val="auto"/>
                <w:kern w:val="0"/>
                <w:sz w:val="18"/>
                <w:szCs w:val="18"/>
              </w:rPr>
              <w:t>抽查</w:t>
            </w:r>
            <w:r>
              <w:rPr>
                <w:rFonts w:hint="eastAsia" w:ascii="仿宋" w:hAnsi="仿宋" w:eastAsia="仿宋" w:cs="仿宋"/>
                <w:b/>
                <w:bCs/>
                <w:color w:val="auto"/>
                <w:kern w:val="0"/>
                <w:sz w:val="18"/>
                <w:szCs w:val="18"/>
                <w:lang w:eastAsia="zh-CN"/>
              </w:rPr>
              <w:t>频次及实施时间</w:t>
            </w:r>
          </w:p>
        </w:tc>
        <w:tc>
          <w:tcPr>
            <w:tcW w:w="8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18"/>
                <w:szCs w:val="18"/>
                <w:vertAlign w:val="baseline"/>
                <w:lang w:eastAsia="zh-CN"/>
              </w:rPr>
            </w:pPr>
            <w:r>
              <w:rPr>
                <w:rFonts w:hint="eastAsia" w:ascii="仿宋" w:hAnsi="仿宋" w:eastAsia="仿宋" w:cs="仿宋"/>
                <w:b/>
                <w:bCs/>
                <w:color w:val="auto"/>
                <w:sz w:val="18"/>
                <w:szCs w:val="18"/>
                <w:vertAlign w:val="baseline"/>
                <w:lang w:eastAsia="zh-CN"/>
              </w:rPr>
              <w:t>发起部门</w:t>
            </w:r>
          </w:p>
        </w:tc>
        <w:tc>
          <w:tcPr>
            <w:tcW w:w="148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18"/>
                <w:szCs w:val="18"/>
                <w:vertAlign w:val="baseline"/>
                <w:lang w:eastAsia="zh-CN"/>
              </w:rPr>
            </w:pPr>
            <w:r>
              <w:rPr>
                <w:rFonts w:hint="eastAsia" w:ascii="仿宋" w:hAnsi="仿宋" w:eastAsia="仿宋" w:cs="仿宋"/>
                <w:b/>
                <w:bCs/>
                <w:color w:val="auto"/>
                <w:sz w:val="18"/>
                <w:szCs w:val="18"/>
                <w:vertAlign w:val="baseline"/>
                <w:lang w:eastAsia="zh-CN"/>
              </w:rPr>
              <w:t>配合部门</w:t>
            </w:r>
          </w:p>
        </w:tc>
        <w:tc>
          <w:tcPr>
            <w:tcW w:w="421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18"/>
                <w:szCs w:val="18"/>
                <w:vertAlign w:val="baseline"/>
                <w:lang w:eastAsia="zh-CN"/>
              </w:rPr>
            </w:pPr>
            <w:r>
              <w:rPr>
                <w:rFonts w:hint="eastAsia" w:ascii="仿宋" w:hAnsi="仿宋" w:eastAsia="仿宋" w:cs="仿宋"/>
                <w:b/>
                <w:bCs/>
                <w:color w:val="auto"/>
                <w:kern w:val="0"/>
                <w:sz w:val="18"/>
                <w:szCs w:val="18"/>
                <w:lang w:val="en-US" w:eastAsia="zh-CN"/>
              </w:rPr>
              <w:t>商务部门抽查内容</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18"/>
                <w:szCs w:val="18"/>
                <w:vertAlign w:val="baseline"/>
                <w:lang w:val="en-US" w:eastAsia="zh-CN"/>
              </w:rPr>
            </w:pPr>
            <w:r>
              <w:rPr>
                <w:rFonts w:hint="eastAsia" w:ascii="仿宋" w:hAnsi="仿宋" w:eastAsia="仿宋" w:cs="仿宋"/>
                <w:b/>
                <w:bCs/>
                <w:color w:val="auto"/>
                <w:sz w:val="18"/>
                <w:szCs w:val="18"/>
                <w:vertAlign w:val="baseline"/>
                <w:lang w:eastAsia="zh-CN"/>
              </w:rPr>
              <w:t>责任科室</w:t>
            </w:r>
            <w:r>
              <w:rPr>
                <w:rFonts w:hint="default" w:ascii="仿宋" w:hAnsi="仿宋" w:eastAsia="仿宋" w:cs="仿宋"/>
                <w:b/>
                <w:bCs/>
                <w:color w:val="auto"/>
                <w:sz w:val="18"/>
                <w:szCs w:val="18"/>
                <w:vertAlign w:val="baseline"/>
                <w:lang w:val="en-US" w:eastAsia="zh-CN"/>
              </w:rPr>
              <w:t>/</w:t>
            </w:r>
            <w:r>
              <w:rPr>
                <w:rFonts w:hint="eastAsia" w:ascii="仿宋" w:hAnsi="仿宋" w:eastAsia="仿宋" w:cs="仿宋"/>
                <w:b/>
                <w:bCs/>
                <w:color w:val="auto"/>
                <w:sz w:val="18"/>
                <w:szCs w:val="18"/>
                <w:vertAlign w:val="baseline"/>
                <w:lang w:val="en-US" w:eastAsia="zh-CN"/>
              </w:rPr>
              <w:t>责任单位</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18"/>
                <w:szCs w:val="18"/>
                <w:vertAlign w:val="baseline"/>
                <w:lang w:eastAsia="zh-CN"/>
              </w:rPr>
            </w:pPr>
            <w:r>
              <w:rPr>
                <w:rFonts w:hint="eastAsia" w:ascii="仿宋" w:hAnsi="仿宋" w:eastAsia="仿宋" w:cs="仿宋"/>
                <w:b/>
                <w:bCs/>
                <w:color w:val="auto"/>
                <w:sz w:val="18"/>
                <w:szCs w:val="18"/>
                <w:vertAlign w:val="baseline"/>
                <w:lang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i w:val="0"/>
                <w:caps w:val="0"/>
                <w:color w:val="auto"/>
                <w:spacing w:val="0"/>
                <w:sz w:val="18"/>
                <w:szCs w:val="18"/>
                <w:shd w:val="clear" w:fill="FFFFFF"/>
              </w:rPr>
            </w:pPr>
            <w:r>
              <w:rPr>
                <w:rFonts w:hint="eastAsia" w:ascii="仿宋_GB2312" w:hAnsi="仿宋_GB2312" w:eastAsia="仿宋_GB2312" w:cs="仿宋_GB2312"/>
                <w:b w:val="0"/>
                <w:bCs w:val="0"/>
                <w:color w:val="auto"/>
                <w:sz w:val="18"/>
                <w:szCs w:val="18"/>
                <w:vertAlign w:val="baseline"/>
                <w:lang w:eastAsia="zh-CN"/>
              </w:rPr>
              <w:t>对拍行业联合抽查</w:t>
            </w:r>
          </w:p>
        </w:tc>
        <w:tc>
          <w:tcPr>
            <w:tcW w:w="1512"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拍卖经营行为检查</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十堰城区持有拍卖许可证的拍卖企业</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rPr>
            </w:pPr>
            <w:r>
              <w:rPr>
                <w:rFonts w:hint="eastAsia" w:ascii="仿宋_GB2312" w:hAnsi="仿宋_GB2312" w:eastAsia="仿宋_GB2312" w:cs="仿宋_GB2312"/>
                <w:b w:val="0"/>
                <w:bCs w:val="0"/>
                <w:color w:val="auto"/>
                <w:sz w:val="18"/>
                <w:szCs w:val="18"/>
                <w:vertAlign w:val="baseline"/>
                <w:lang w:val="en-US" w:eastAsia="zh-CN"/>
              </w:rPr>
              <w:t>10%</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val="en-US" w:eastAsia="zh-CN"/>
              </w:rPr>
            </w:pPr>
            <w:r>
              <w:rPr>
                <w:rFonts w:hint="eastAsia" w:ascii="仿宋_GB2312" w:hAnsi="仿宋_GB2312" w:eastAsia="仿宋_GB2312" w:cs="仿宋_GB2312"/>
                <w:b w:val="0"/>
                <w:bCs w:val="0"/>
                <w:color w:val="auto"/>
                <w:sz w:val="18"/>
                <w:szCs w:val="18"/>
                <w:vertAlign w:val="baseline"/>
                <w:lang w:val="en-US" w:eastAsia="zh-CN"/>
              </w:rPr>
              <w:t>1次/年；3月第3周</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市商务局商贸服务科</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市市场监管局网监科</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企业的设立是否符合《拍卖管理办法》要求，如：注册资本、专业人员配备、经营地址等；</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企业年度内是否有违规经营事项；</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企业按时报送行业经营统计数据的情况；</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kern w:val="0"/>
                <w:sz w:val="18"/>
                <w:szCs w:val="18"/>
                <w:lang w:val="en-US" w:eastAsia="zh-CN"/>
              </w:rPr>
            </w:pPr>
            <w:r>
              <w:rPr>
                <w:rFonts w:hint="eastAsia" w:ascii="仿宋_GB2312" w:hAnsi="仿宋_GB2312" w:eastAsia="仿宋_GB2312" w:cs="仿宋_GB2312"/>
                <w:b w:val="0"/>
                <w:bCs w:val="0"/>
                <w:color w:val="auto"/>
                <w:sz w:val="18"/>
                <w:szCs w:val="18"/>
                <w:vertAlign w:val="baseline"/>
                <w:lang w:eastAsia="zh-CN"/>
              </w:rPr>
              <w:t>拍卖师从业情况及资质使用情况。</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市商务局商贸服务科</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eastAsia="zh-CN"/>
              </w:rPr>
              <w:t>王春晖</w:t>
            </w:r>
            <w:r>
              <w:rPr>
                <w:rFonts w:hint="eastAsia" w:ascii="仿宋_GB2312" w:hAnsi="仿宋_GB2312" w:eastAsia="仿宋_GB2312" w:cs="仿宋_GB2312"/>
                <w:b w:val="0"/>
                <w:bCs w:val="0"/>
                <w:color w:val="auto"/>
                <w:sz w:val="18"/>
                <w:szCs w:val="18"/>
                <w:vertAlign w:val="baseline"/>
                <w:lang w:val="en-US" w:eastAsia="zh-CN"/>
              </w:rPr>
              <w:t>13986896866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2</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单用途商业预付卡监督检查联合抽查</w:t>
            </w:r>
          </w:p>
        </w:tc>
        <w:tc>
          <w:tcPr>
            <w:tcW w:w="1512"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eastAsia="zh-CN"/>
              </w:rPr>
              <w:t>单用途商业预付卡监管</w:t>
            </w:r>
            <w:r>
              <w:rPr>
                <w:rFonts w:hint="eastAsia" w:ascii="仿宋_GB2312" w:hAnsi="仿宋_GB2312" w:eastAsia="仿宋_GB2312" w:cs="仿宋_GB2312"/>
                <w:b w:val="0"/>
                <w:bCs w:val="0"/>
                <w:color w:val="auto"/>
                <w:sz w:val="18"/>
                <w:szCs w:val="18"/>
                <w:vertAlign w:val="baseline"/>
                <w:lang w:val="en-US" w:eastAsia="zh-CN"/>
              </w:rPr>
              <w:t xml:space="preserve">   </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城区单用途商业预付卡发卡企业</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10%</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1次/年；4月第1周</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市商务局市场秩序科</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val="en-US" w:eastAsia="zh-CN"/>
              </w:rPr>
            </w:pPr>
            <w:r>
              <w:rPr>
                <w:rFonts w:hint="eastAsia" w:ascii="仿宋_GB2312" w:hAnsi="仿宋_GB2312" w:eastAsia="仿宋_GB2312" w:cs="仿宋_GB2312"/>
                <w:b w:val="0"/>
                <w:bCs w:val="0"/>
                <w:color w:val="auto"/>
                <w:kern w:val="0"/>
                <w:sz w:val="18"/>
                <w:szCs w:val="18"/>
                <w:lang w:eastAsia="zh-CN"/>
              </w:rPr>
              <w:t>市市场监管局消保科、市公安局经侦支队、市文旅局市场监管科、市税务局稽查科</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检查单用途商业预付卡备案表，购卡章程.协议及资金管理制度建立、执行情况；</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检查单用途商业预付卡购买登记情况、购卡方式、购卡限额、退卡等操作程序执行情况；</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检查发卡企业预收资金用途、预收资金余额比例、资金存管制度、资金存管协议与账户情况；</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检查集团发卡企业和品牌发卡企业应于每季度结束后20个工作日内登录商务部“单用途商业预付卡业务信息系统”，填报上一季度单用途卡业务情况。</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kern w:val="0"/>
                <w:sz w:val="18"/>
                <w:szCs w:val="18"/>
                <w:lang w:eastAsia="zh-CN"/>
              </w:rPr>
              <w:t>市商务局市场秩序科</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eastAsia="zh-CN"/>
              </w:rPr>
              <w:t>程靖</w:t>
            </w:r>
            <w:r>
              <w:rPr>
                <w:rFonts w:hint="eastAsia" w:ascii="仿宋_GB2312" w:hAnsi="仿宋_GB2312" w:eastAsia="仿宋_GB2312" w:cs="仿宋_GB2312"/>
                <w:b w:val="0"/>
                <w:bCs w:val="0"/>
                <w:color w:val="auto"/>
                <w:sz w:val="18"/>
                <w:szCs w:val="18"/>
                <w:vertAlign w:val="baseline"/>
                <w:lang w:val="en-US" w:eastAsia="zh-CN"/>
              </w:rPr>
              <w:t>13986887088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1"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3</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餐饮服务行业联合抽查</w:t>
            </w:r>
          </w:p>
        </w:tc>
        <w:tc>
          <w:tcPr>
            <w:tcW w:w="1512" w:type="dxa"/>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餐饮服务主体经营行为检查</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城区餐饮服务单位</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5%</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1次/年；5月第2周</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市饮食服务行业管理办公室</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市城管执法委城管督察科、市人社局劳动关系科、市市场监管局餐饮科</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检查企业安全生产和食品安全。特别是后厨燃气安全、食品留样、食材采购索票索证，是否</w:t>
            </w:r>
            <w:r>
              <w:rPr>
                <w:rFonts w:hint="eastAsia" w:ascii="仿宋_GB2312" w:hAnsi="仿宋_GB2312" w:eastAsia="仿宋_GB2312" w:cs="仿宋_GB2312"/>
                <w:sz w:val="18"/>
                <w:szCs w:val="18"/>
              </w:rPr>
              <w:t>符合国家产品质量及食品安全强制标准的食品</w:t>
            </w:r>
            <w:r>
              <w:rPr>
                <w:rFonts w:hint="eastAsia" w:ascii="仿宋_GB2312" w:hAnsi="仿宋_GB2312" w:eastAsia="仿宋_GB2312" w:cs="仿宋_GB2312"/>
                <w:sz w:val="18"/>
                <w:szCs w:val="18"/>
                <w:lang w:eastAsia="zh-CN"/>
              </w:rPr>
              <w:t>，不得使用野生制品；</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检查企业文明餐桌执行情况。是否严格推行“公筷公勺制”“</w:t>
            </w:r>
            <w:r>
              <w:rPr>
                <w:rFonts w:hint="eastAsia" w:ascii="仿宋_GB2312" w:hAnsi="仿宋_GB2312" w:eastAsia="仿宋_GB2312" w:cs="仿宋_GB2312"/>
                <w:b w:val="0"/>
                <w:bCs w:val="0"/>
                <w:sz w:val="18"/>
                <w:szCs w:val="18"/>
              </w:rPr>
              <w:t>厉行勤俭节约</w:t>
            </w:r>
            <w:r>
              <w:rPr>
                <w:rFonts w:hint="eastAsia" w:ascii="仿宋_GB2312" w:hAnsi="仿宋_GB2312" w:eastAsia="仿宋_GB2312" w:cs="仿宋_GB2312"/>
                <w:b w:val="0"/>
                <w:bCs w:val="0"/>
                <w:sz w:val="18"/>
                <w:szCs w:val="18"/>
                <w:lang w:eastAsia="zh-CN"/>
              </w:rPr>
              <w:t>，</w:t>
            </w:r>
            <w:r>
              <w:rPr>
                <w:rFonts w:hint="eastAsia" w:ascii="仿宋_GB2312" w:hAnsi="仿宋_GB2312" w:eastAsia="仿宋_GB2312" w:cs="仿宋_GB2312"/>
                <w:b w:val="0"/>
                <w:bCs w:val="0"/>
                <w:sz w:val="18"/>
                <w:szCs w:val="18"/>
              </w:rPr>
              <w:t>反对餐饮浪费</w:t>
            </w:r>
            <w:r>
              <w:rPr>
                <w:rFonts w:hint="eastAsia" w:ascii="仿宋_GB2312" w:hAnsi="仿宋_GB2312" w:eastAsia="仿宋_GB2312" w:cs="仿宋_GB2312"/>
                <w:color w:val="auto"/>
                <w:sz w:val="18"/>
                <w:szCs w:val="18"/>
                <w:vertAlign w:val="baseline"/>
                <w:lang w:eastAsia="zh-CN"/>
              </w:rPr>
              <w:t>”、餐厨垃圾分类等；</w:t>
            </w:r>
            <w:r>
              <w:rPr>
                <w:rFonts w:hint="eastAsia" w:ascii="仿宋_GB2312" w:hAnsi="仿宋_GB2312" w:eastAsia="仿宋_GB2312" w:cs="仿宋_GB2312"/>
                <w:sz w:val="18"/>
                <w:szCs w:val="18"/>
              </w:rPr>
              <w:t>在醒目位置张贴节约标识，</w:t>
            </w:r>
            <w:r>
              <w:rPr>
                <w:rFonts w:hint="eastAsia" w:ascii="仿宋_GB2312" w:hAnsi="仿宋_GB2312" w:eastAsia="仿宋_GB2312" w:cs="仿宋_GB2312"/>
                <w:sz w:val="18"/>
                <w:szCs w:val="18"/>
                <w:lang w:eastAsia="zh-CN"/>
              </w:rPr>
              <w:t>营造</w:t>
            </w:r>
            <w:r>
              <w:rPr>
                <w:rFonts w:hint="eastAsia" w:ascii="仿宋_GB2312" w:hAnsi="仿宋_GB2312" w:eastAsia="仿宋_GB2312" w:cs="仿宋_GB2312"/>
                <w:sz w:val="18"/>
                <w:szCs w:val="18"/>
              </w:rPr>
              <w:t>贯彻文明用餐标准</w:t>
            </w:r>
            <w:r>
              <w:rPr>
                <w:rFonts w:hint="eastAsia" w:ascii="仿宋_GB2312" w:hAnsi="仿宋_GB2312" w:eastAsia="仿宋_GB2312" w:cs="仿宋_GB2312"/>
                <w:sz w:val="18"/>
                <w:szCs w:val="18"/>
                <w:lang w:eastAsia="zh-CN"/>
              </w:rPr>
              <w:t>；</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检查企业常态化疫情防控各项措施落实情况。是否落实健康码行程码必扫必查、场所消杀、佩戴口罩等。</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市饮食服务行业管理办公室</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eastAsia="zh-CN"/>
              </w:rPr>
              <w:t>吴永江</w:t>
            </w:r>
            <w:r>
              <w:rPr>
                <w:rFonts w:hint="eastAsia" w:ascii="仿宋_GB2312" w:hAnsi="仿宋_GB2312" w:eastAsia="仿宋_GB2312" w:cs="仿宋_GB2312"/>
                <w:b w:val="0"/>
                <w:bCs w:val="0"/>
                <w:color w:val="auto"/>
                <w:sz w:val="18"/>
                <w:szCs w:val="18"/>
                <w:vertAlign w:val="baseline"/>
                <w:lang w:val="en-US" w:eastAsia="zh-CN"/>
              </w:rPr>
              <w:t>13597891168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4</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二手车市场监管联合抽查</w:t>
            </w:r>
          </w:p>
        </w:tc>
        <w:tc>
          <w:tcPr>
            <w:tcW w:w="1512" w:type="dxa"/>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二手车市场监管</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城区二手车交易市场和二手车经营主体</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10%</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1次/年；6月第1周</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市商务局市场体系科</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市市场监管局消保科、市税务局稽查科</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检查是否在各自的经营范围内从事经营活动，有无超范围经营行为；</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检查是否按法定程序确认了卖方的身份及车辆的合法性；</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检查是否按法定程序核实了卖方的所有权或处置权证明；</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检查是否签订合同，明确相应的责任和义务；检查交易完成后，买卖双方是否按照国家有关规定，持法定证明、凭证向公安机关交通管理部门申办车辆转移登记手续。</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市商务局市场体系科</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eastAsia="zh-CN"/>
              </w:rPr>
              <w:t>高瑾</w:t>
            </w:r>
            <w:r>
              <w:rPr>
                <w:rFonts w:hint="eastAsia" w:ascii="仿宋_GB2312" w:hAnsi="仿宋_GB2312" w:eastAsia="仿宋_GB2312" w:cs="仿宋_GB2312"/>
                <w:b w:val="0"/>
                <w:bCs w:val="0"/>
                <w:color w:val="auto"/>
                <w:sz w:val="18"/>
                <w:szCs w:val="18"/>
                <w:vertAlign w:val="baseline"/>
                <w:lang w:val="en-US" w:eastAsia="zh-CN"/>
              </w:rPr>
              <w:t>18986901001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5</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外商投资企业年度报告联合抽查</w:t>
            </w:r>
          </w:p>
        </w:tc>
        <w:tc>
          <w:tcPr>
            <w:tcW w:w="1512" w:type="dxa"/>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年度报告公示信息的检查</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城区外商投资企业</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10%</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1次/年；9月第1周</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市商务局外经贸科</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市市场监管局信用监管科、市社保局、市税务局稽查局</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检查是否在国家规定实施准入特别管理措施中所列的禁止投资领域开展投资经营活动；</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检查是否未经审批在国家规定实施准入特别管理措施中所列的限制投资领域开展投资经营活动；</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检查是否存在触发国家安全审查的情形。</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市商务局外经贸科</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eastAsia="zh-CN"/>
              </w:rPr>
              <w:t>刘宏霞</w:t>
            </w:r>
            <w:r>
              <w:rPr>
                <w:rFonts w:hint="eastAsia" w:ascii="仿宋_GB2312" w:hAnsi="仿宋_GB2312" w:eastAsia="仿宋_GB2312" w:cs="仿宋_GB2312"/>
                <w:b w:val="0"/>
                <w:bCs w:val="0"/>
                <w:color w:val="auto"/>
                <w:sz w:val="18"/>
                <w:szCs w:val="18"/>
                <w:vertAlign w:val="baseline"/>
                <w:lang w:val="en-US" w:eastAsia="zh-CN"/>
              </w:rPr>
              <w:t>13581382989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22"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6</w:t>
            </w:r>
          </w:p>
        </w:tc>
        <w:tc>
          <w:tcPr>
            <w:tcW w:w="1493" w:type="dxa"/>
            <w:vMerge w:val="restart"/>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新车销售市场联合抽查</w:t>
            </w:r>
          </w:p>
        </w:tc>
        <w:tc>
          <w:tcPr>
            <w:tcW w:w="1512" w:type="dxa"/>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新车销售市场监管</w:t>
            </w:r>
          </w:p>
        </w:tc>
        <w:tc>
          <w:tcPr>
            <w:tcW w:w="1188" w:type="dxa"/>
            <w:vMerge w:val="restart"/>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城区新车销售市场经营主体</w:t>
            </w:r>
          </w:p>
        </w:tc>
        <w:tc>
          <w:tcPr>
            <w:tcW w:w="744" w:type="dxa"/>
            <w:vMerge w:val="restart"/>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5%</w:t>
            </w:r>
          </w:p>
        </w:tc>
        <w:tc>
          <w:tcPr>
            <w:tcW w:w="807" w:type="dxa"/>
            <w:vMerge w:val="restart"/>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1次/年；9月第2周</w:t>
            </w:r>
          </w:p>
        </w:tc>
        <w:tc>
          <w:tcPr>
            <w:tcW w:w="849" w:type="dxa"/>
            <w:vMerge w:val="restart"/>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市商务局商贸服务科</w:t>
            </w:r>
          </w:p>
        </w:tc>
        <w:tc>
          <w:tcPr>
            <w:tcW w:w="1488" w:type="dxa"/>
            <w:vMerge w:val="restart"/>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市市场监管局标准认证科、市生态环境局机动车中心、税务局稽查科</w:t>
            </w:r>
          </w:p>
        </w:tc>
        <w:tc>
          <w:tcPr>
            <w:tcW w:w="4215" w:type="dxa"/>
            <w:vMerge w:val="restart"/>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根据《汽车销售管理办法》，检查销售行为规范、销售市场秩序；检查平台备案和信息填报情况；检查经销商销售汽车、用户等信息档案。</w:t>
            </w:r>
          </w:p>
        </w:tc>
        <w:tc>
          <w:tcPr>
            <w:tcW w:w="1211"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FF0000"/>
                <w:kern w:val="0"/>
                <w:sz w:val="18"/>
                <w:szCs w:val="18"/>
                <w:lang w:eastAsia="zh-CN"/>
              </w:rPr>
            </w:pPr>
            <w:r>
              <w:rPr>
                <w:rFonts w:hint="eastAsia" w:ascii="仿宋_GB2312" w:hAnsi="仿宋_GB2312" w:eastAsia="仿宋_GB2312" w:cs="仿宋_GB2312"/>
                <w:b w:val="0"/>
                <w:bCs w:val="0"/>
                <w:color w:val="auto"/>
                <w:sz w:val="18"/>
                <w:szCs w:val="18"/>
                <w:vertAlign w:val="baseline"/>
                <w:lang w:eastAsia="zh-CN"/>
              </w:rPr>
              <w:t>市商务局商贸服务科</w:t>
            </w:r>
          </w:p>
        </w:tc>
        <w:tc>
          <w:tcPr>
            <w:tcW w:w="1211"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FF0000"/>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eastAsia="zh-CN"/>
              </w:rPr>
              <w:t>王春晖</w:t>
            </w:r>
            <w:r>
              <w:rPr>
                <w:rFonts w:hint="eastAsia" w:ascii="仿宋_GB2312" w:hAnsi="仿宋_GB2312" w:eastAsia="仿宋_GB2312" w:cs="仿宋_GB2312"/>
                <w:b w:val="0"/>
                <w:bCs w:val="0"/>
                <w:color w:val="auto"/>
                <w:sz w:val="18"/>
                <w:szCs w:val="18"/>
                <w:vertAlign w:val="baseline"/>
                <w:lang w:val="en-US" w:eastAsia="zh-CN"/>
              </w:rPr>
              <w:t>13986896866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722"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1493"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18"/>
                <w:szCs w:val="18"/>
              </w:rPr>
            </w:pPr>
          </w:p>
        </w:tc>
        <w:tc>
          <w:tcPr>
            <w:tcW w:w="1512" w:type="dxa"/>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机动车获得强制性产品认证情况检查</w:t>
            </w:r>
          </w:p>
        </w:tc>
        <w:tc>
          <w:tcPr>
            <w:tcW w:w="1188"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744"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807"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eastAsia="zh-CN"/>
              </w:rPr>
            </w:pPr>
          </w:p>
        </w:tc>
        <w:tc>
          <w:tcPr>
            <w:tcW w:w="849"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1488"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4215"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1211"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1211"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722"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1493"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1512" w:type="dxa"/>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机动车环保信息公开检查</w:t>
            </w:r>
          </w:p>
        </w:tc>
        <w:tc>
          <w:tcPr>
            <w:tcW w:w="1188"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744"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807"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eastAsia="zh-CN"/>
              </w:rPr>
            </w:pPr>
          </w:p>
        </w:tc>
        <w:tc>
          <w:tcPr>
            <w:tcW w:w="849"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1488"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4215"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1211"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c>
          <w:tcPr>
            <w:tcW w:w="1211" w:type="dxa"/>
            <w:vMerge w:val="continue"/>
            <w:vAlign w:val="center"/>
          </w:tcPr>
          <w:p>
            <w:pPr>
              <w:keepNext w:val="0"/>
              <w:keepLines w:val="0"/>
              <w:pageBreakBefore w:val="0"/>
              <w:tabs>
                <w:tab w:val="left" w:pos="408"/>
              </w:tabs>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7</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报废机动车回收拆解活动联合抽查</w:t>
            </w:r>
          </w:p>
        </w:tc>
        <w:tc>
          <w:tcPr>
            <w:tcW w:w="1512"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报废机动车回收拆解活动监管</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城区报废车经营企业</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50%</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1次/年；10月第2周</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市商务局市场体系科</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市发改委工业科、市生态环境局辐危中心、市经信局节能与综合利用科、市交通运输局综合运输科、市市场监管局质量发展科</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检查报废汽车回收企业是否配备相关的拆解设备和消防设施；</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检查报废汽车回收企业是否有出售报废汽车、报废五大总成、拼装车等违法经营行为；</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检查报废汽车回收企业是否有买卖或者伪造、变造《报废汽车回收证明》的行为。</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18"/>
                <w:szCs w:val="18"/>
                <w:lang w:eastAsia="zh-CN"/>
              </w:rPr>
            </w:pPr>
            <w:r>
              <w:rPr>
                <w:rFonts w:hint="eastAsia" w:ascii="仿宋_GB2312" w:hAnsi="仿宋_GB2312" w:eastAsia="仿宋_GB2312" w:cs="仿宋_GB2312"/>
                <w:b w:val="0"/>
                <w:bCs w:val="0"/>
                <w:color w:val="auto"/>
                <w:kern w:val="0"/>
                <w:sz w:val="18"/>
                <w:szCs w:val="18"/>
                <w:lang w:eastAsia="zh-CN"/>
              </w:rPr>
              <w:t>市商务局市场体系科</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高瑾</w:t>
            </w:r>
            <w:r>
              <w:rPr>
                <w:rFonts w:hint="eastAsia" w:ascii="仿宋_GB2312" w:hAnsi="仿宋_GB2312" w:eastAsia="仿宋_GB2312" w:cs="仿宋_GB2312"/>
                <w:b w:val="0"/>
                <w:bCs w:val="0"/>
                <w:color w:val="auto"/>
                <w:sz w:val="18"/>
                <w:szCs w:val="18"/>
                <w:vertAlign w:val="baseline"/>
                <w:lang w:val="en-US" w:eastAsia="zh-CN"/>
              </w:rPr>
              <w:t>18986901001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2"/>
                <w:sz w:val="18"/>
                <w:szCs w:val="18"/>
                <w:vertAlign w:val="baseline"/>
                <w:lang w:val="en-US" w:eastAsia="zh-CN" w:bidi="ar-SA"/>
              </w:rPr>
              <w:t>8</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2"/>
                <w:sz w:val="18"/>
                <w:szCs w:val="18"/>
                <w:vertAlign w:val="baseline"/>
                <w:lang w:val="en-US" w:eastAsia="zh-CN" w:bidi="ar-SA"/>
              </w:rPr>
              <w:t>车用油品质量联合抽查</w:t>
            </w:r>
          </w:p>
        </w:tc>
        <w:tc>
          <w:tcPr>
            <w:tcW w:w="1512"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重点区域车用油品质量抽查监测</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城区加油站</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5%</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1次/年；9月第3周</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市市场监管局产品质量科</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市商务局商贸服务科、市生态环境局大气科</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成品油经营批准证书的有效期和经营范围，产权证明文件等文件；</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歇业或终止经营的，到发证机关办理经营资格暂停或注销手续。存在改扩建的企业的申报及备案手续；</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从具有成品油批发经营资格的企业购进成品油情况。</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b w:val="0"/>
                <w:bCs w:val="0"/>
                <w:color w:val="auto"/>
                <w:kern w:val="0"/>
                <w:sz w:val="18"/>
                <w:szCs w:val="18"/>
                <w:lang w:eastAsia="zh-CN"/>
              </w:rPr>
              <w:t>市商务局商贸服务科</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王春晖</w:t>
            </w:r>
            <w:r>
              <w:rPr>
                <w:rFonts w:hint="eastAsia" w:ascii="仿宋_GB2312" w:hAnsi="仿宋_GB2312" w:eastAsia="仿宋_GB2312" w:cs="仿宋_GB2312"/>
                <w:b w:val="0"/>
                <w:bCs w:val="0"/>
                <w:color w:val="auto"/>
                <w:sz w:val="18"/>
                <w:szCs w:val="18"/>
                <w:vertAlign w:val="baseline"/>
                <w:lang w:val="en-US" w:eastAsia="zh-CN"/>
              </w:rPr>
              <w:t>13986896866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7"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sz w:val="18"/>
                <w:szCs w:val="18"/>
                <w:vertAlign w:val="baseline"/>
                <w:lang w:val="en-US" w:eastAsia="zh-CN"/>
              </w:rPr>
              <w:t>9</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2"/>
                <w:sz w:val="18"/>
                <w:szCs w:val="18"/>
                <w:vertAlign w:val="baseline"/>
                <w:lang w:val="en-US" w:eastAsia="zh-CN" w:bidi="ar-SA"/>
              </w:rPr>
              <w:t>国家常规统计调查、部门统计调查、地方统计调查联合抽查</w:t>
            </w:r>
          </w:p>
        </w:tc>
        <w:tc>
          <w:tcPr>
            <w:tcW w:w="1512"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调查对象依法设置原始记录、统计台账以及统计数据质量情况检查</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城区统计“四上”企业</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1%</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b w:val="0"/>
                <w:bCs w:val="0"/>
                <w:color w:val="auto"/>
                <w:sz w:val="18"/>
                <w:szCs w:val="18"/>
                <w:vertAlign w:val="baseline"/>
                <w:lang w:val="en-US" w:eastAsia="zh-CN"/>
              </w:rPr>
              <w:t>1次/年；9月第2周</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市统计局</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市发改委经济运行调节科、市商务局商贸服务科、市市场监管局登记监管科</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检查限上商贸企业经营情况，是否及时如实向统计部门填报数据。</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b w:val="0"/>
                <w:bCs w:val="0"/>
                <w:color w:val="auto"/>
                <w:kern w:val="0"/>
                <w:sz w:val="18"/>
                <w:szCs w:val="18"/>
                <w:lang w:eastAsia="zh-CN"/>
              </w:rPr>
              <w:t>市商务局商贸服务科</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王春晖</w:t>
            </w:r>
            <w:r>
              <w:rPr>
                <w:rFonts w:hint="eastAsia" w:ascii="仿宋_GB2312" w:hAnsi="仿宋_GB2312" w:eastAsia="仿宋_GB2312" w:cs="仿宋_GB2312"/>
                <w:b w:val="0"/>
                <w:bCs w:val="0"/>
                <w:color w:val="auto"/>
                <w:sz w:val="18"/>
                <w:szCs w:val="18"/>
                <w:vertAlign w:val="baseline"/>
                <w:lang w:val="en-US" w:eastAsia="zh-CN"/>
              </w:rPr>
              <w:t>13986896866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0" w:hRule="atLeast"/>
        </w:trPr>
        <w:tc>
          <w:tcPr>
            <w:tcW w:w="72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sz w:val="18"/>
                <w:szCs w:val="18"/>
                <w:vertAlign w:val="baseline"/>
                <w:lang w:val="en-US" w:eastAsia="zh-CN"/>
              </w:rPr>
              <w:t>10</w:t>
            </w:r>
          </w:p>
        </w:tc>
        <w:tc>
          <w:tcPr>
            <w:tcW w:w="1493"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sz w:val="18"/>
                <w:szCs w:val="18"/>
                <w:vertAlign w:val="baseline"/>
                <w:lang w:eastAsia="zh-CN"/>
              </w:rPr>
              <w:t>对对外劳务合作经营企业的监督检查</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 w:val="0"/>
                <w:bCs/>
                <w:color w:val="auto"/>
                <w:kern w:val="0"/>
                <w:sz w:val="18"/>
                <w:szCs w:val="18"/>
                <w:lang w:eastAsia="zh-CN"/>
              </w:rPr>
            </w:pPr>
            <w:r>
              <w:rPr>
                <w:rFonts w:hint="eastAsia" w:ascii="仿宋_GB2312" w:hAnsi="仿宋_GB2312" w:eastAsia="仿宋_GB2312" w:cs="仿宋_GB2312"/>
                <w:b w:val="0"/>
                <w:bCs/>
                <w:color w:val="auto"/>
                <w:kern w:val="0"/>
                <w:sz w:val="18"/>
                <w:szCs w:val="18"/>
                <w:lang w:eastAsia="zh-CN"/>
              </w:rPr>
              <w:t>对外劳务合作经营企业检查</w:t>
            </w:r>
          </w:p>
        </w:tc>
        <w:tc>
          <w:tcPr>
            <w:tcW w:w="11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b w:val="0"/>
                <w:bCs/>
                <w:color w:val="auto"/>
                <w:kern w:val="0"/>
                <w:sz w:val="18"/>
                <w:szCs w:val="18"/>
              </w:rPr>
              <w:t>十堰市对外劳务合作经营企业</w:t>
            </w:r>
          </w:p>
        </w:tc>
        <w:tc>
          <w:tcPr>
            <w:tcW w:w="744"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val="en-US" w:eastAsia="zh-CN"/>
              </w:rPr>
              <w:t>100%</w:t>
            </w:r>
          </w:p>
        </w:tc>
        <w:tc>
          <w:tcPr>
            <w:tcW w:w="807"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color w:val="auto"/>
                <w:sz w:val="18"/>
                <w:szCs w:val="18"/>
                <w:vertAlign w:val="baseline"/>
                <w:lang w:val="en-US" w:eastAsia="zh-CN"/>
              </w:rPr>
              <w:t>1次/年</w:t>
            </w:r>
          </w:p>
        </w:tc>
        <w:tc>
          <w:tcPr>
            <w:tcW w:w="849"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市商务局外经贸科</w:t>
            </w:r>
          </w:p>
        </w:tc>
        <w:tc>
          <w:tcPr>
            <w:tcW w:w="1488" w:type="dxa"/>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无</w:t>
            </w:r>
          </w:p>
        </w:tc>
        <w:tc>
          <w:tcPr>
            <w:tcW w:w="4215" w:type="dxa"/>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检查企业是否足额缴纳劳务备用金；</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检查有无将合同或副本及劳务人员名单报商务主管部门备案、组织劳务人员出境后将有关情况向中国使馆报告；</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检查有无完整报送月度统计报表和有关信息情况；</w:t>
            </w:r>
          </w:p>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检查有无建立劳务纠纷和突发事件应急处置工作机制，按照“谁派出、谁负责”和人员属地原则，及时妥善处置相关事件，依法处理违法违规经营企业，切实维护劳务人员合法权益。</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市商务局外经贸科</w:t>
            </w:r>
          </w:p>
        </w:tc>
        <w:tc>
          <w:tcPr>
            <w:tcW w:w="121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b w:val="0"/>
                <w:bCs w:val="0"/>
                <w:color w:val="auto"/>
                <w:sz w:val="18"/>
                <w:szCs w:val="18"/>
                <w:vertAlign w:val="baseline"/>
                <w:lang w:eastAsia="zh-CN"/>
              </w:rPr>
              <w:t>刘宏霞</w:t>
            </w:r>
            <w:r>
              <w:rPr>
                <w:rFonts w:hint="eastAsia" w:ascii="仿宋_GB2312" w:hAnsi="仿宋_GB2312" w:eastAsia="仿宋_GB2312" w:cs="仿宋_GB2312"/>
                <w:b w:val="0"/>
                <w:bCs w:val="0"/>
                <w:color w:val="auto"/>
                <w:sz w:val="18"/>
                <w:szCs w:val="18"/>
                <w:vertAlign w:val="baseline"/>
                <w:lang w:val="en-US" w:eastAsia="zh-CN"/>
              </w:rPr>
              <w:t>13581382989</w:t>
            </w:r>
          </w:p>
        </w:tc>
      </w:tr>
    </w:tbl>
    <w:p>
      <w:pPr>
        <w:keepNext w:val="0"/>
        <w:keepLines w:val="0"/>
        <w:pageBreakBefore w:val="0"/>
        <w:kinsoku/>
        <w:wordWrap/>
        <w:overflowPunct/>
        <w:topLinePunct w:val="0"/>
        <w:autoSpaceDE/>
        <w:autoSpaceDN/>
        <w:bidi w:val="0"/>
        <w:spacing w:line="595" w:lineRule="exact"/>
        <w:ind w:right="1264" w:rightChars="400"/>
        <w:jc w:val="left"/>
        <w:textAlignment w:val="auto"/>
        <w:rPr>
          <w:rFonts w:ascii="黑体" w:hAnsi="黑体" w:eastAsia="黑体" w:cs="黑体"/>
        </w:rPr>
        <w:sectPr>
          <w:footerReference r:id="rId3" w:type="default"/>
          <w:footerReference r:id="rId4" w:type="even"/>
          <w:pgSz w:w="16838" w:h="11906" w:orient="landscape"/>
          <w:pgMar w:top="720" w:right="720" w:bottom="720" w:left="720" w:header="851" w:footer="1134" w:gutter="113"/>
          <w:paperSrc/>
          <w:cols w:space="0" w:num="1"/>
          <w:formProt w:val="0"/>
          <w:titlePg/>
          <w:docGrid w:type="linesAndChars" w:linePitch="616" w:charSpace="-842"/>
        </w:sectPr>
      </w:pPr>
    </w:p>
    <w:p>
      <w:pPr>
        <w:keepNext w:val="0"/>
        <w:keepLines w:val="0"/>
        <w:pageBreakBefore w:val="0"/>
        <w:kinsoku/>
        <w:wordWrap/>
        <w:overflowPunct/>
        <w:topLinePunct w:val="0"/>
        <w:autoSpaceDE/>
        <w:autoSpaceDN/>
        <w:bidi w:val="0"/>
        <w:spacing w:line="595" w:lineRule="exact"/>
        <w:ind w:right="1264" w:rightChars="400"/>
        <w:jc w:val="left"/>
        <w:textAlignment w:val="auto"/>
        <w:rPr>
          <w:rFonts w:ascii="黑体" w:hAnsi="黑体" w:eastAsia="黑体" w:cs="黑体"/>
        </w:rPr>
      </w:pPr>
    </w:p>
    <w:sectPr>
      <w:headerReference r:id="rId7" w:type="first"/>
      <w:footerReference r:id="rId10" w:type="first"/>
      <w:headerReference r:id="rId5" w:type="default"/>
      <w:footerReference r:id="rId8" w:type="default"/>
      <w:headerReference r:id="rId6" w:type="even"/>
      <w:footerReference r:id="rId9" w:type="even"/>
      <w:type w:val="continuous"/>
      <w:pgSz w:w="16838" w:h="11906" w:orient="landscape"/>
      <w:pgMar w:top="720" w:right="720" w:bottom="720" w:left="720" w:header="851" w:footer="1134" w:gutter="113"/>
      <w:paperSrc/>
      <w:pgNumType w:fmt="numberInDash"/>
      <w:cols w:space="0" w:num="1"/>
      <w:formProt w:val="0"/>
      <w:titlePg/>
      <w:docGrid w:type="linesAndChars" w:linePitch="61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公文小标宋简">
    <w:altName w:val="方正小标宋_GBK"/>
    <w:panose1 w:val="02010609010101010101"/>
    <w:charset w:val="86"/>
    <w:family w:val="modern"/>
    <w:pitch w:val="default"/>
    <w:sig w:usb0="00000000" w:usb1="00000000" w:usb2="00000000" w:usb3="00000000" w:csb0="00000000" w:csb1="00000000"/>
  </w:font>
  <w:font w:name="Consolas">
    <w:altName w:val="Noto Sans Mono"/>
    <w:panose1 w:val="020B0609020204030204"/>
    <w:charset w:val="00"/>
    <w:family w:val="auto"/>
    <w:pitch w:val="default"/>
    <w:sig w:usb0="00000000" w:usb1="00000000" w:usb2="00000001" w:usb3="00000000" w:csb0="6000019F" w:csb1="DFD70000"/>
  </w:font>
  <w:font w:name="方正小标宋简体">
    <w:panose1 w:val="02000000000000000000"/>
    <w:charset w:val="86"/>
    <w:family w:val="auto"/>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方正楷体简体">
    <w:altName w:val="方正楷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Noto Sans Mono">
    <w:panose1 w:val="020B0509040504020204"/>
    <w:charset w:val="00"/>
    <w:family w:val="auto"/>
    <w:pitch w:val="default"/>
    <w:sig w:usb0="E00002FF" w:usb1="4200FCFF" w:usb2="08000039" w:usb3="00100000" w:csb0="0000019F" w:csb1="DFD70000"/>
  </w:font>
  <w:font w:name="黑体">
    <w:altName w:val="方正黑体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352"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352"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352" w:right="357"/>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352" w:right="357"/>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eastAsia="仿宋_GB231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true"/>
  <w:bordersDoNotSurroundHeader w:val="false"/>
  <w:bordersDoNotSurroundFooter w:val="false"/>
  <w:attachedTemplate r:id="rId1"/>
  <w:documentProtection w:enforcement="0"/>
  <w:defaultTabStop w:val="425"/>
  <w:evenAndOddHeaders w:val="true"/>
  <w:drawingGridHorizontalSpacing w:val="158"/>
  <w:drawingGridVerticalSpacing w:val="30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FC15E8"/>
    <w:rsid w:val="000120EB"/>
    <w:rsid w:val="0001680B"/>
    <w:rsid w:val="00030C80"/>
    <w:rsid w:val="00033D3C"/>
    <w:rsid w:val="00050BF9"/>
    <w:rsid w:val="00076B1F"/>
    <w:rsid w:val="000A31DF"/>
    <w:rsid w:val="000E383E"/>
    <w:rsid w:val="000F27FA"/>
    <w:rsid w:val="00152BC1"/>
    <w:rsid w:val="0015646B"/>
    <w:rsid w:val="001B0A33"/>
    <w:rsid w:val="001B5BAF"/>
    <w:rsid w:val="001C51BB"/>
    <w:rsid w:val="001F0017"/>
    <w:rsid w:val="00237AB4"/>
    <w:rsid w:val="0024607F"/>
    <w:rsid w:val="00287DC3"/>
    <w:rsid w:val="002E2B38"/>
    <w:rsid w:val="002E3323"/>
    <w:rsid w:val="0031242B"/>
    <w:rsid w:val="003300FD"/>
    <w:rsid w:val="00350907"/>
    <w:rsid w:val="003551B0"/>
    <w:rsid w:val="003A0CEA"/>
    <w:rsid w:val="003A43F8"/>
    <w:rsid w:val="003F6735"/>
    <w:rsid w:val="004747C2"/>
    <w:rsid w:val="004B48BF"/>
    <w:rsid w:val="004D2101"/>
    <w:rsid w:val="004F21C6"/>
    <w:rsid w:val="00501335"/>
    <w:rsid w:val="00525570"/>
    <w:rsid w:val="0055355B"/>
    <w:rsid w:val="00576BF5"/>
    <w:rsid w:val="006142DD"/>
    <w:rsid w:val="006D5FC0"/>
    <w:rsid w:val="006E2A71"/>
    <w:rsid w:val="006E309A"/>
    <w:rsid w:val="006E76CE"/>
    <w:rsid w:val="00705A38"/>
    <w:rsid w:val="00774533"/>
    <w:rsid w:val="00791B00"/>
    <w:rsid w:val="007960E1"/>
    <w:rsid w:val="007C4F4A"/>
    <w:rsid w:val="008935FA"/>
    <w:rsid w:val="008A17C8"/>
    <w:rsid w:val="008C745C"/>
    <w:rsid w:val="009246B3"/>
    <w:rsid w:val="00941F0B"/>
    <w:rsid w:val="00960334"/>
    <w:rsid w:val="00976827"/>
    <w:rsid w:val="009834D5"/>
    <w:rsid w:val="009909E5"/>
    <w:rsid w:val="009923F6"/>
    <w:rsid w:val="009A11F6"/>
    <w:rsid w:val="009C5EA7"/>
    <w:rsid w:val="009E37B6"/>
    <w:rsid w:val="009E684B"/>
    <w:rsid w:val="00A47892"/>
    <w:rsid w:val="00A615AA"/>
    <w:rsid w:val="00A9205B"/>
    <w:rsid w:val="00AB2D8C"/>
    <w:rsid w:val="00AB437E"/>
    <w:rsid w:val="00AE1694"/>
    <w:rsid w:val="00B12898"/>
    <w:rsid w:val="00B3058D"/>
    <w:rsid w:val="00B33E7E"/>
    <w:rsid w:val="00B564D0"/>
    <w:rsid w:val="00B778D2"/>
    <w:rsid w:val="00BD599D"/>
    <w:rsid w:val="00BF38CA"/>
    <w:rsid w:val="00C1333E"/>
    <w:rsid w:val="00C64B33"/>
    <w:rsid w:val="00CA6B72"/>
    <w:rsid w:val="00CD4537"/>
    <w:rsid w:val="00CF4C65"/>
    <w:rsid w:val="00CF6D95"/>
    <w:rsid w:val="00D22A09"/>
    <w:rsid w:val="00D30315"/>
    <w:rsid w:val="00D312E1"/>
    <w:rsid w:val="00D334A5"/>
    <w:rsid w:val="00D45006"/>
    <w:rsid w:val="00DD2139"/>
    <w:rsid w:val="00DF2C11"/>
    <w:rsid w:val="00E03AB6"/>
    <w:rsid w:val="00E13E28"/>
    <w:rsid w:val="00E231D6"/>
    <w:rsid w:val="00E25BA3"/>
    <w:rsid w:val="00E340FA"/>
    <w:rsid w:val="00E41396"/>
    <w:rsid w:val="00E731D9"/>
    <w:rsid w:val="00E7726C"/>
    <w:rsid w:val="00EA2C31"/>
    <w:rsid w:val="00EA4B95"/>
    <w:rsid w:val="00EC5573"/>
    <w:rsid w:val="00F04E41"/>
    <w:rsid w:val="00F1486C"/>
    <w:rsid w:val="00F25559"/>
    <w:rsid w:val="00F35F6B"/>
    <w:rsid w:val="00F828E5"/>
    <w:rsid w:val="00F85462"/>
    <w:rsid w:val="00FA10A8"/>
    <w:rsid w:val="00FB36F5"/>
    <w:rsid w:val="00FB5C3B"/>
    <w:rsid w:val="00FB7B93"/>
    <w:rsid w:val="00FC15E8"/>
    <w:rsid w:val="00FD6709"/>
    <w:rsid w:val="00FF5FB2"/>
    <w:rsid w:val="03250ECD"/>
    <w:rsid w:val="05005566"/>
    <w:rsid w:val="06F72EF4"/>
    <w:rsid w:val="081C0611"/>
    <w:rsid w:val="0DB617B4"/>
    <w:rsid w:val="0EF27D67"/>
    <w:rsid w:val="102E4FFE"/>
    <w:rsid w:val="11D829F3"/>
    <w:rsid w:val="13056638"/>
    <w:rsid w:val="13902A1D"/>
    <w:rsid w:val="15B00FA2"/>
    <w:rsid w:val="170A3C4B"/>
    <w:rsid w:val="17EC0199"/>
    <w:rsid w:val="194B7172"/>
    <w:rsid w:val="194E1BD7"/>
    <w:rsid w:val="1AC32AFC"/>
    <w:rsid w:val="1B5B2E88"/>
    <w:rsid w:val="1EB80512"/>
    <w:rsid w:val="1EF7B5F4"/>
    <w:rsid w:val="1F03699B"/>
    <w:rsid w:val="1FDF3A56"/>
    <w:rsid w:val="1FF178D8"/>
    <w:rsid w:val="1FFF2674"/>
    <w:rsid w:val="20057443"/>
    <w:rsid w:val="200C0E3B"/>
    <w:rsid w:val="201F0574"/>
    <w:rsid w:val="205C5123"/>
    <w:rsid w:val="2156680B"/>
    <w:rsid w:val="24DC5ADD"/>
    <w:rsid w:val="28865233"/>
    <w:rsid w:val="294E0E04"/>
    <w:rsid w:val="298C2FDC"/>
    <w:rsid w:val="29920658"/>
    <w:rsid w:val="2BD564A1"/>
    <w:rsid w:val="2C2A21F7"/>
    <w:rsid w:val="2C5D331F"/>
    <w:rsid w:val="2D2B0FB7"/>
    <w:rsid w:val="2E7D789B"/>
    <w:rsid w:val="342B1A82"/>
    <w:rsid w:val="35435DB4"/>
    <w:rsid w:val="3557310F"/>
    <w:rsid w:val="35CC1A7B"/>
    <w:rsid w:val="385A3313"/>
    <w:rsid w:val="3867084E"/>
    <w:rsid w:val="396C0FB8"/>
    <w:rsid w:val="3CA7646A"/>
    <w:rsid w:val="3E341DC8"/>
    <w:rsid w:val="3FB0489C"/>
    <w:rsid w:val="3FC820CE"/>
    <w:rsid w:val="3FF775DE"/>
    <w:rsid w:val="408426D7"/>
    <w:rsid w:val="41997747"/>
    <w:rsid w:val="43257BB8"/>
    <w:rsid w:val="43D47983"/>
    <w:rsid w:val="44AC355A"/>
    <w:rsid w:val="472B04FA"/>
    <w:rsid w:val="496E423B"/>
    <w:rsid w:val="4C9873A4"/>
    <w:rsid w:val="4DBF36BF"/>
    <w:rsid w:val="4EE235F6"/>
    <w:rsid w:val="50156B4D"/>
    <w:rsid w:val="50F56431"/>
    <w:rsid w:val="50F956EC"/>
    <w:rsid w:val="518B784D"/>
    <w:rsid w:val="51FC2810"/>
    <w:rsid w:val="539447F2"/>
    <w:rsid w:val="556611E5"/>
    <w:rsid w:val="55E00719"/>
    <w:rsid w:val="56737DF8"/>
    <w:rsid w:val="5CE61C0C"/>
    <w:rsid w:val="5CEF57A4"/>
    <w:rsid w:val="5D4F4A62"/>
    <w:rsid w:val="5FFF7286"/>
    <w:rsid w:val="60D13DCC"/>
    <w:rsid w:val="64E06406"/>
    <w:rsid w:val="65856FAE"/>
    <w:rsid w:val="65C90A5C"/>
    <w:rsid w:val="66691621"/>
    <w:rsid w:val="678C4882"/>
    <w:rsid w:val="6A594790"/>
    <w:rsid w:val="6A694F6A"/>
    <w:rsid w:val="6B94143C"/>
    <w:rsid w:val="6C371C76"/>
    <w:rsid w:val="6CC54D59"/>
    <w:rsid w:val="6EDC5085"/>
    <w:rsid w:val="71A32921"/>
    <w:rsid w:val="71B36F79"/>
    <w:rsid w:val="75C971C1"/>
    <w:rsid w:val="76AB2492"/>
    <w:rsid w:val="771D5363"/>
    <w:rsid w:val="77597FB5"/>
    <w:rsid w:val="7A2E6DF7"/>
    <w:rsid w:val="7E971522"/>
    <w:rsid w:val="7FA17405"/>
    <w:rsid w:val="7FF77786"/>
    <w:rsid w:val="8DFB8A05"/>
    <w:rsid w:val="9FFEF45A"/>
    <w:rsid w:val="A7DD7D8B"/>
    <w:rsid w:val="DFFD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0"/>
    <w:pPr>
      <w:keepNext/>
      <w:keepLines/>
      <w:adjustRightInd w:val="0"/>
      <w:jc w:val="center"/>
      <w:outlineLvl w:val="0"/>
    </w:pPr>
    <w:rPr>
      <w:rFonts w:eastAsia="公文小标宋简"/>
      <w:b/>
      <w:color w:val="FF0000"/>
      <w:w w:val="66"/>
      <w:kern w:val="44"/>
      <w:sz w:val="72"/>
    </w:rPr>
  </w:style>
  <w:style w:type="paragraph" w:styleId="3">
    <w:name w:val="heading 2"/>
    <w:basedOn w:val="1"/>
    <w:next w:val="1"/>
    <w:qFormat/>
    <w:uiPriority w:val="0"/>
    <w:pPr>
      <w:keepNext/>
      <w:keepLines/>
      <w:spacing w:before="260" w:after="260" w:line="416" w:lineRule="auto"/>
      <w:outlineLvl w:val="1"/>
    </w:pPr>
    <w:rPr>
      <w:rFonts w:ascii="Arial" w:hAnsi="Arial" w:eastAsia="黑体"/>
      <w:b/>
    </w:rPr>
  </w:style>
  <w:style w:type="paragraph" w:styleId="4">
    <w:name w:val="heading 3"/>
    <w:basedOn w:val="1"/>
    <w:next w:val="5"/>
    <w:qFormat/>
    <w:uiPriority w:val="0"/>
    <w:pPr>
      <w:keepNext/>
      <w:keepLines/>
      <w:spacing w:before="1620" w:after="400"/>
      <w:jc w:val="center"/>
      <w:outlineLvl w:val="2"/>
    </w:pPr>
    <w:rPr>
      <w:rFonts w:ascii="公文小标宋简" w:eastAsia="公文小标宋简"/>
      <w:sz w:val="44"/>
    </w:rPr>
  </w:style>
  <w:style w:type="paragraph" w:styleId="6">
    <w:name w:val="heading 4"/>
    <w:basedOn w:val="1"/>
    <w:next w:val="5"/>
    <w:qFormat/>
    <w:uiPriority w:val="0"/>
    <w:pPr>
      <w:keepNext/>
      <w:tabs>
        <w:tab w:val="left" w:pos="2488"/>
        <w:tab w:val="left" w:pos="4976"/>
      </w:tabs>
      <w:jc w:val="center"/>
      <w:outlineLvl w:val="3"/>
    </w:pPr>
    <w:rPr>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630"/>
    </w:pPr>
    <w:rPr>
      <w:kern w:val="0"/>
    </w:rPr>
  </w:style>
  <w:style w:type="paragraph" w:styleId="7">
    <w:name w:val="Date"/>
    <w:basedOn w:val="1"/>
    <w:next w:val="1"/>
    <w:qFormat/>
    <w:uiPriority w:val="0"/>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color w:val="FF0000"/>
      <w:u w:val="none"/>
    </w:rPr>
  </w:style>
  <w:style w:type="character" w:styleId="16">
    <w:name w:val="page number"/>
    <w:basedOn w:val="14"/>
    <w:qFormat/>
    <w:uiPriority w:val="0"/>
    <w:rPr>
      <w:rFonts w:eastAsia="宋体"/>
      <w:sz w:val="28"/>
    </w:rPr>
  </w:style>
  <w:style w:type="character" w:styleId="17">
    <w:name w:val="FollowedHyperlink"/>
    <w:basedOn w:val="14"/>
    <w:qFormat/>
    <w:uiPriority w:val="0"/>
    <w:rPr>
      <w:color w:val="333333"/>
      <w:u w:val="none"/>
    </w:rPr>
  </w:style>
  <w:style w:type="character" w:styleId="18">
    <w:name w:val="HTML Definition"/>
    <w:basedOn w:val="14"/>
    <w:qFormat/>
    <w:uiPriority w:val="0"/>
    <w:rPr>
      <w:i/>
    </w:rPr>
  </w:style>
  <w:style w:type="character" w:styleId="19">
    <w:name w:val="Hyperlink"/>
    <w:basedOn w:val="14"/>
    <w:qFormat/>
    <w:uiPriority w:val="0"/>
    <w:rPr>
      <w:color w:val="333333"/>
      <w:u w:val="none"/>
    </w:rPr>
  </w:style>
  <w:style w:type="character" w:styleId="20">
    <w:name w:val="HTML Code"/>
    <w:basedOn w:val="14"/>
    <w:qFormat/>
    <w:uiPriority w:val="0"/>
    <w:rPr>
      <w:rFonts w:hint="default" w:ascii="Consolas" w:hAnsi="Consolas" w:eastAsia="Consolas" w:cs="Consolas"/>
      <w:color w:val="C7254E"/>
      <w:sz w:val="21"/>
      <w:szCs w:val="21"/>
      <w:shd w:val="clear" w:fill="F9F2F4"/>
    </w:rPr>
  </w:style>
  <w:style w:type="character" w:styleId="21">
    <w:name w:val="HTML Keyboard"/>
    <w:basedOn w:val="14"/>
    <w:qFormat/>
    <w:uiPriority w:val="0"/>
    <w:rPr>
      <w:rFonts w:hint="default" w:ascii="Consolas" w:hAnsi="Consolas" w:eastAsia="Consolas" w:cs="Consolas"/>
      <w:color w:val="FFFFFF"/>
      <w:sz w:val="21"/>
      <w:szCs w:val="21"/>
      <w:shd w:val="clear" w:fill="333333"/>
    </w:rPr>
  </w:style>
  <w:style w:type="character" w:styleId="22">
    <w:name w:val="HTML Sample"/>
    <w:basedOn w:val="14"/>
    <w:qFormat/>
    <w:uiPriority w:val="0"/>
    <w:rPr>
      <w:rFonts w:ascii="Consolas" w:hAnsi="Consolas" w:eastAsia="Consolas" w:cs="Consolas"/>
      <w:sz w:val="21"/>
      <w:szCs w:val="21"/>
    </w:rPr>
  </w:style>
  <w:style w:type="paragraph" w:customStyle="1" w:styleId="23">
    <w:name w:val="发文字号"/>
    <w:basedOn w:val="1"/>
    <w:qFormat/>
    <w:uiPriority w:val="0"/>
    <w:pPr>
      <w:jc w:val="left"/>
    </w:pPr>
  </w:style>
  <w:style w:type="paragraph" w:customStyle="1" w:styleId="24">
    <w:name w:val="机关标识"/>
    <w:basedOn w:val="1"/>
    <w:qFormat/>
    <w:uiPriority w:val="0"/>
    <w:pPr>
      <w:jc w:val="center"/>
    </w:pPr>
    <w:rPr>
      <w:rFonts w:eastAsia="公文小标宋简"/>
      <w:color w:val="FF0000"/>
      <w:sz w:val="52"/>
    </w:rPr>
  </w:style>
  <w:style w:type="paragraph" w:customStyle="1" w:styleId="25">
    <w:name w:val="标题1"/>
    <w:basedOn w:val="1"/>
    <w:qFormat/>
    <w:uiPriority w:val="0"/>
    <w:pPr>
      <w:spacing w:before="1100" w:line="414" w:lineRule="auto"/>
      <w:jc w:val="center"/>
    </w:pPr>
    <w:rPr>
      <w:rFonts w:ascii="公文小标宋简" w:eastAsia="公文小标宋简"/>
      <w:sz w:val="44"/>
    </w:rPr>
  </w:style>
  <w:style w:type="paragraph" w:customStyle="1" w:styleId="26">
    <w:name w:val="主题词"/>
    <w:basedOn w:val="1"/>
    <w:qFormat/>
    <w:uiPriority w:val="0"/>
    <w:pPr>
      <w:spacing w:before="74" w:after="74"/>
      <w:ind w:left="1396" w:hanging="1396"/>
    </w:pPr>
    <w:rPr>
      <w:rFonts w:eastAsia="公文小标宋简"/>
    </w:rPr>
  </w:style>
  <w:style w:type="paragraph" w:customStyle="1" w:styleId="27">
    <w:name w:val="机关字号"/>
    <w:basedOn w:val="1"/>
    <w:qFormat/>
    <w:uiPriority w:val="0"/>
    <w:pPr>
      <w:spacing w:line="580" w:lineRule="exact"/>
      <w:jc w:val="center"/>
    </w:pPr>
  </w:style>
  <w:style w:type="paragraph" w:customStyle="1" w:styleId="28">
    <w:name w:val="附件"/>
    <w:basedOn w:val="1"/>
    <w:qFormat/>
    <w:uiPriority w:val="0"/>
    <w:pPr>
      <w:ind w:left="1638" w:hanging="1016"/>
    </w:pPr>
  </w:style>
  <w:style w:type="paragraph" w:customStyle="1" w:styleId="29">
    <w:name w:val="秘密紧急"/>
    <w:basedOn w:val="1"/>
    <w:qFormat/>
    <w:uiPriority w:val="0"/>
    <w:pPr>
      <w:jc w:val="right"/>
    </w:pPr>
    <w:rPr>
      <w:rFonts w:ascii="黑体" w:eastAsia="黑体"/>
    </w:rPr>
  </w:style>
  <w:style w:type="paragraph" w:customStyle="1" w:styleId="30">
    <w:name w:val="抄 送"/>
    <w:basedOn w:val="26"/>
    <w:qFormat/>
    <w:uiPriority w:val="0"/>
    <w:pPr>
      <w:spacing w:line="580" w:lineRule="exact"/>
      <w:ind w:left="0" w:firstLine="0"/>
    </w:pPr>
    <w:rPr>
      <w:rFonts w:eastAsia="仿宋_GB2312"/>
    </w:rPr>
  </w:style>
  <w:style w:type="paragraph" w:customStyle="1" w:styleId="31">
    <w:name w:val="主送机关"/>
    <w:basedOn w:val="1"/>
    <w:qFormat/>
    <w:uiPriority w:val="0"/>
    <w:rPr>
      <w:rFonts w:ascii="仿宋_GB2312"/>
    </w:rPr>
  </w:style>
  <w:style w:type="character" w:customStyle="1" w:styleId="32">
    <w:name w:val="disabled"/>
    <w:basedOn w:val="14"/>
    <w:qFormat/>
    <w:uiPriority w:val="0"/>
    <w:rPr>
      <w:color w:val="333333"/>
      <w:bdr w:val="single" w:color="CCCCCC" w:sz="4" w:space="0"/>
    </w:rPr>
  </w:style>
  <w:style w:type="character" w:customStyle="1" w:styleId="33">
    <w:name w:val="state"/>
    <w:basedOn w:val="14"/>
    <w:qFormat/>
    <w:uiPriority w:val="0"/>
    <w:rPr>
      <w:color w:val="CD160F"/>
      <w:sz w:val="16"/>
      <w:szCs w:val="16"/>
    </w:rPr>
  </w:style>
  <w:style w:type="character" w:customStyle="1" w:styleId="34">
    <w:name w:val="bds_more4"/>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ocuments%20and%20Settings\Administrator\&#26700;&#38754;\DCL\2019&#24066;&#22330;&#30417;&#31649;&#23616;&#20844;&#25991;&#27169;&#26495;\&#23567;&#25991;&#22836;&#25991;&#26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小文头文档.dot</Template>
  <Pages>4</Pages>
  <Words>268</Words>
  <Characters>1533</Characters>
  <Lines>12</Lines>
  <Paragraphs>3</Paragraphs>
  <TotalTime>5</TotalTime>
  <ScaleCrop>false</ScaleCrop>
  <LinksUpToDate>false</LinksUpToDate>
  <CharactersWithSpaces>1798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2019-11-16T00:13:00Z</dcterms:created>
  <dc:creator>User</dc:creator>
  <cp:lastModifiedBy>周成</cp:lastModifiedBy>
  <cp:lastPrinted>2023-01-13T00:25:00Z</cp:lastPrinted>
  <dcterms:modified xsi:type="dcterms:W3CDTF">2023-01-13T10:34:02Z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filename_dp">
    <vt:lpwstr>十堰市工商行政管理局</vt:lpwstr>
  </property>
  <property fmtid="{D5CDD505-2E9C-101B-9397-08002B2CF9AE}" pid="3" name="UnitCode_dp">
    <vt:lpwstr>十工商</vt:lpwstr>
  </property>
  <property fmtid="{D5CDD505-2E9C-101B-9397-08002B2CF9AE}" pid="4" name="PublishUnit_dp">
    <vt:lpwstr>十堰市工商行政管理局办公室</vt:lpwstr>
  </property>
  <property fmtid="{D5CDD505-2E9C-101B-9397-08002B2CF9AE}" pid="5" name="title3_h">
    <vt:lpwstr>2.8575</vt:lpwstr>
  </property>
  <property fmtid="{D5CDD505-2E9C-101B-9397-08002B2CF9AE}" pid="6" name="Text1_dp">
    <vt:lpwstr>ＸＸＸＸＸ单位：</vt:lpwstr>
  </property>
  <property fmtid="{D5CDD505-2E9C-101B-9397-08002B2CF9AE}" pid="7" name="Notekeyword_dp">
    <vt:lpwstr>录入主题词</vt:lpwstr>
  </property>
  <property fmtid="{D5CDD505-2E9C-101B-9397-08002B2CF9AE}" pid="8" name="PublisDate_dp">
    <vt:lpwstr>2000年12月28日</vt:lpwstr>
  </property>
  <property fmtid="{D5CDD505-2E9C-101B-9397-08002B2CF9AE}" pid="9" name="KSOProductBuildVer">
    <vt:lpwstr>2052-11.8.2.10251</vt:lpwstr>
  </property>
</Properties>
</file>